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D386F" w14:textId="77777777" w:rsidR="00D14A9D" w:rsidRPr="00AC5B0D" w:rsidRDefault="00E467AF">
      <w:pPr>
        <w:keepNext/>
        <w:jc w:val="left"/>
        <w:rPr>
          <w:rFonts w:ascii="Arial" w:eastAsia="Arial" w:hAnsi="Arial"/>
          <w:b/>
          <w:sz w:val="36"/>
          <w:szCs w:val="36"/>
        </w:rPr>
      </w:pPr>
      <w:r w:rsidRPr="00AC5B0D">
        <w:rPr>
          <w:rFonts w:ascii="Arial" w:eastAsia="Arial" w:hAnsi="Arial"/>
          <w:b/>
          <w:sz w:val="36"/>
          <w:szCs w:val="36"/>
        </w:rPr>
        <w:t>Call-Off Schedule 16 (Benchmarking)</w:t>
      </w:r>
    </w:p>
    <w:p w14:paraId="71CAF5A7" w14:textId="77777777" w:rsidR="00D14A9D" w:rsidRPr="00AC5B0D" w:rsidRDefault="00E467AF" w:rsidP="001C7E95">
      <w:pPr>
        <w:keepNext/>
        <w:numPr>
          <w:ilvl w:val="0"/>
          <w:numId w:val="1"/>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AC5B0D">
        <w:rPr>
          <w:rFonts w:ascii="Arial" w:eastAsia="Arial" w:hAnsi="Arial"/>
          <w:b/>
          <w:smallCaps/>
          <w:color w:val="000000"/>
          <w:sz w:val="24"/>
          <w:szCs w:val="24"/>
        </w:rPr>
        <w:t>DEFINITIONS</w:t>
      </w:r>
    </w:p>
    <w:p w14:paraId="123F0746" w14:textId="77777777" w:rsidR="00D14A9D" w:rsidRPr="00AC5B0D" w:rsidRDefault="00E467AF" w:rsidP="001C7E95">
      <w:pPr>
        <w:keepNext/>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color w:val="000000"/>
          <w:sz w:val="24"/>
          <w:szCs w:val="24"/>
        </w:rPr>
      </w:pPr>
      <w:r w:rsidRPr="00AC5B0D">
        <w:rPr>
          <w:rFonts w:ascii="Arial" w:eastAsia="Arial" w:hAnsi="Arial"/>
          <w:color w:val="000000"/>
          <w:sz w:val="24"/>
          <w:szCs w:val="24"/>
        </w:rPr>
        <w:t>In this Schedule, the following expressions shall have the following meanings:</w:t>
      </w:r>
    </w:p>
    <w:tbl>
      <w:tblPr>
        <w:tblStyle w:val="a1"/>
        <w:tblW w:w="90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5511"/>
      </w:tblGrid>
      <w:tr w:rsidR="00D14A9D" w:rsidRPr="00AC5B0D" w14:paraId="343F833A" w14:textId="77777777" w:rsidTr="001C7E95">
        <w:tc>
          <w:tcPr>
            <w:tcW w:w="3544" w:type="dxa"/>
            <w:shd w:val="clear" w:color="auto" w:fill="auto"/>
          </w:tcPr>
          <w:p w14:paraId="1706C8CC"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"Benchmark Review"</w:t>
            </w:r>
          </w:p>
        </w:tc>
        <w:tc>
          <w:tcPr>
            <w:tcW w:w="5511" w:type="dxa"/>
            <w:shd w:val="clear" w:color="auto" w:fill="auto"/>
          </w:tcPr>
          <w:p w14:paraId="7A51EEB5" w14:textId="77777777" w:rsidR="00D14A9D" w:rsidRPr="00AC5B0D" w:rsidRDefault="00E467AF">
            <w:pPr>
              <w:pBdr>
                <w:top w:val="nil"/>
                <w:left w:val="nil"/>
                <w:bottom w:val="nil"/>
                <w:right w:val="nil"/>
                <w:between w:val="nil"/>
              </w:pBdr>
              <w:tabs>
                <w:tab w:val="left" w:pos="420"/>
              </w:tabs>
              <w:spacing w:after="120"/>
              <w:jc w:val="left"/>
              <w:rPr>
                <w:rFonts w:ascii="Arial" w:eastAsia="Arial" w:hAnsi="Arial"/>
                <w:sz w:val="24"/>
                <w:szCs w:val="24"/>
              </w:rPr>
            </w:pPr>
            <w:r w:rsidRPr="00AC5B0D">
              <w:rPr>
                <w:rFonts w:ascii="Arial" w:eastAsia="Arial" w:hAnsi="Arial"/>
                <w:sz w:val="24"/>
                <w:szCs w:val="24"/>
              </w:rPr>
              <w:t>a review of the Deliverables carried out in accordance with this Schedule to determine whether those Deliverables represent Good Value;</w:t>
            </w:r>
          </w:p>
        </w:tc>
      </w:tr>
      <w:tr w:rsidR="00D14A9D" w:rsidRPr="00AC5B0D" w14:paraId="5341A895" w14:textId="77777777" w:rsidTr="001C7E95">
        <w:tc>
          <w:tcPr>
            <w:tcW w:w="3544" w:type="dxa"/>
            <w:shd w:val="clear" w:color="auto" w:fill="auto"/>
          </w:tcPr>
          <w:p w14:paraId="039A0A16"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"Benchmarked Deliverables"</w:t>
            </w:r>
          </w:p>
        </w:tc>
        <w:tc>
          <w:tcPr>
            <w:tcW w:w="5511" w:type="dxa"/>
            <w:shd w:val="clear" w:color="auto" w:fill="auto"/>
          </w:tcPr>
          <w:p w14:paraId="4781A271"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any Deliverables included within the scope of a Benchmark Review pursuant to this Schedule;</w:t>
            </w:r>
          </w:p>
        </w:tc>
      </w:tr>
      <w:tr w:rsidR="00D14A9D" w:rsidRPr="00AC5B0D" w14:paraId="2A4B5977" w14:textId="77777777" w:rsidTr="001C7E95">
        <w:tc>
          <w:tcPr>
            <w:tcW w:w="3544" w:type="dxa"/>
            <w:shd w:val="clear" w:color="auto" w:fill="auto"/>
          </w:tcPr>
          <w:p w14:paraId="18ED4CAD"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"Comparable Rates"</w:t>
            </w:r>
          </w:p>
        </w:tc>
        <w:tc>
          <w:tcPr>
            <w:tcW w:w="5511" w:type="dxa"/>
            <w:shd w:val="clear" w:color="auto" w:fill="auto"/>
          </w:tcPr>
          <w:p w14:paraId="62A33594"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the Charges for Comparable Deliverables;</w:t>
            </w:r>
          </w:p>
        </w:tc>
      </w:tr>
      <w:tr w:rsidR="00D14A9D" w:rsidRPr="00AC5B0D" w14:paraId="7C323C3F" w14:textId="77777777" w:rsidTr="001C7E95">
        <w:tc>
          <w:tcPr>
            <w:tcW w:w="3544" w:type="dxa"/>
            <w:shd w:val="clear" w:color="auto" w:fill="auto"/>
          </w:tcPr>
          <w:p w14:paraId="27B3F6E2"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"Comparable Deliverables"</w:t>
            </w:r>
          </w:p>
        </w:tc>
        <w:tc>
          <w:tcPr>
            <w:tcW w:w="5511" w:type="dxa"/>
            <w:shd w:val="clear" w:color="auto" w:fill="auto"/>
          </w:tcPr>
          <w:p w14:paraId="3E130EF9"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D14A9D" w:rsidRPr="00AC5B0D" w14:paraId="61EEF222" w14:textId="77777777" w:rsidTr="001C7E95">
        <w:tc>
          <w:tcPr>
            <w:tcW w:w="3544" w:type="dxa"/>
            <w:shd w:val="clear" w:color="auto" w:fill="auto"/>
          </w:tcPr>
          <w:p w14:paraId="2E3E3C44"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"Comparison Group"</w:t>
            </w:r>
          </w:p>
        </w:tc>
        <w:tc>
          <w:tcPr>
            <w:tcW w:w="5511" w:type="dxa"/>
            <w:shd w:val="clear" w:color="auto" w:fill="auto"/>
          </w:tcPr>
          <w:p w14:paraId="249ACE74"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D14A9D" w:rsidRPr="00AC5B0D" w14:paraId="22148754" w14:textId="77777777" w:rsidTr="001C7E95">
        <w:tc>
          <w:tcPr>
            <w:tcW w:w="3544" w:type="dxa"/>
            <w:shd w:val="clear" w:color="auto" w:fill="auto"/>
          </w:tcPr>
          <w:p w14:paraId="26CBF2D2"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"Equivalent Data"</w:t>
            </w:r>
          </w:p>
        </w:tc>
        <w:tc>
          <w:tcPr>
            <w:tcW w:w="5511" w:type="dxa"/>
            <w:shd w:val="clear" w:color="auto" w:fill="auto"/>
          </w:tcPr>
          <w:p w14:paraId="792F2E6A"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data derived from an analysis of the Comparable Rates and/or the Comparable Deliverables (as applicable) provided by the Comparison Group;</w:t>
            </w:r>
          </w:p>
        </w:tc>
      </w:tr>
      <w:tr w:rsidR="00D14A9D" w:rsidRPr="00AC5B0D" w14:paraId="6F022200" w14:textId="77777777" w:rsidTr="001C7E95">
        <w:tc>
          <w:tcPr>
            <w:tcW w:w="3544" w:type="dxa"/>
            <w:shd w:val="clear" w:color="auto" w:fill="auto"/>
          </w:tcPr>
          <w:p w14:paraId="08986DDF"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"Good Value"</w:t>
            </w:r>
          </w:p>
        </w:tc>
        <w:tc>
          <w:tcPr>
            <w:tcW w:w="5511" w:type="dxa"/>
            <w:shd w:val="clear" w:color="auto" w:fill="auto"/>
          </w:tcPr>
          <w:p w14:paraId="5ABBBB02"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that the Benchmarked Rates are within the Upper Quartile; and</w:t>
            </w:r>
          </w:p>
        </w:tc>
      </w:tr>
      <w:tr w:rsidR="00D14A9D" w:rsidRPr="00AC5B0D" w14:paraId="580FF117" w14:textId="77777777" w:rsidTr="001C7E95">
        <w:tc>
          <w:tcPr>
            <w:tcW w:w="3544" w:type="dxa"/>
            <w:shd w:val="clear" w:color="auto" w:fill="auto"/>
          </w:tcPr>
          <w:p w14:paraId="3FDF57E1" w14:textId="77777777" w:rsidR="00D14A9D" w:rsidRPr="00AC5B0D" w:rsidRDefault="00E467AF">
            <w:pPr>
              <w:pBdr>
                <w:top w:val="nil"/>
                <w:left w:val="nil"/>
                <w:bottom w:val="nil"/>
                <w:right w:val="nil"/>
                <w:between w:val="nil"/>
              </w:pBdr>
              <w:spacing w:after="120"/>
              <w:ind w:left="-108"/>
              <w:jc w:val="center"/>
              <w:rPr>
                <w:rFonts w:ascii="Arial" w:eastAsia="Arial" w:hAnsi="Arial"/>
                <w:b/>
                <w:sz w:val="24"/>
                <w:szCs w:val="24"/>
              </w:rPr>
            </w:pPr>
            <w:r w:rsidRPr="00AC5B0D">
              <w:rPr>
                <w:rFonts w:ascii="Arial" w:eastAsia="Arial" w:hAnsi="Arial"/>
                <w:b/>
                <w:sz w:val="24"/>
                <w:szCs w:val="24"/>
              </w:rPr>
              <w:t>"Upper Quartile"</w:t>
            </w:r>
          </w:p>
        </w:tc>
        <w:tc>
          <w:tcPr>
            <w:tcW w:w="5511" w:type="dxa"/>
            <w:shd w:val="clear" w:color="auto" w:fill="auto"/>
          </w:tcPr>
          <w:p w14:paraId="763B3292" w14:textId="77777777" w:rsidR="00D14A9D" w:rsidRPr="00AC5B0D" w:rsidRDefault="00E467AF">
            <w:pPr>
              <w:pBdr>
                <w:top w:val="nil"/>
                <w:left w:val="nil"/>
                <w:bottom w:val="nil"/>
                <w:right w:val="nil"/>
                <w:between w:val="nil"/>
              </w:pBdr>
              <w:tabs>
                <w:tab w:val="left" w:pos="175"/>
              </w:tabs>
              <w:spacing w:after="120"/>
              <w:jc w:val="left"/>
              <w:rPr>
                <w:rFonts w:ascii="Arial" w:eastAsia="Arial" w:hAnsi="Arial"/>
                <w:sz w:val="24"/>
                <w:szCs w:val="24"/>
              </w:rPr>
            </w:pPr>
            <w:r w:rsidRPr="00AC5B0D">
              <w:rPr>
                <w:rFonts w:ascii="Arial" w:eastAsia="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76A0E87A" w14:textId="77777777" w:rsidR="00D14A9D" w:rsidRPr="00AC5B0D" w:rsidRDefault="00E467AF" w:rsidP="00CF4889">
      <w:pPr>
        <w:keepNext/>
        <w:numPr>
          <w:ilvl w:val="0"/>
          <w:numId w:val="1"/>
        </w:numPr>
        <w:pBdr>
          <w:top w:val="nil"/>
          <w:left w:val="nil"/>
          <w:bottom w:val="nil"/>
          <w:right w:val="nil"/>
          <w:between w:val="nil"/>
        </w:pBdr>
        <w:tabs>
          <w:tab w:val="left" w:pos="142"/>
        </w:tabs>
        <w:spacing w:before="120"/>
        <w:ind w:left="567" w:hanging="567"/>
        <w:jc w:val="left"/>
        <w:rPr>
          <w:rFonts w:ascii="Arial" w:eastAsia="Arial" w:hAnsi="Arial"/>
          <w:b/>
          <w:smallCaps/>
          <w:color w:val="000000"/>
          <w:sz w:val="24"/>
          <w:szCs w:val="24"/>
        </w:rPr>
      </w:pPr>
      <w:r w:rsidRPr="00AC5B0D">
        <w:rPr>
          <w:rFonts w:ascii="Arial" w:eastAsia="Arial Bold" w:hAnsi="Arial"/>
          <w:b/>
          <w:color w:val="000000"/>
          <w:sz w:val="24"/>
          <w:szCs w:val="24"/>
        </w:rPr>
        <w:t>When you should use this Schedule</w:t>
      </w:r>
    </w:p>
    <w:p w14:paraId="16038A75" w14:textId="77777777" w:rsidR="00D14A9D" w:rsidRPr="00AC5B0D" w:rsidRDefault="00E467AF" w:rsidP="00CF4889">
      <w:pPr>
        <w:numPr>
          <w:ilvl w:val="1"/>
          <w:numId w:val="1"/>
        </w:numPr>
        <w:pBdr>
          <w:top w:val="nil"/>
          <w:left w:val="nil"/>
          <w:bottom w:val="nil"/>
          <w:right w:val="nil"/>
          <w:between w:val="nil"/>
        </w:pBdr>
        <w:tabs>
          <w:tab w:val="left" w:pos="1134"/>
        </w:tabs>
        <w:spacing w:before="120" w:after="120"/>
        <w:ind w:left="567" w:hanging="567"/>
        <w:jc w:val="left"/>
        <w:rPr>
          <w:rFonts w:ascii="Arial" w:hAnsi="Arial"/>
          <w:color w:val="000000"/>
          <w:sz w:val="24"/>
          <w:szCs w:val="24"/>
        </w:rPr>
      </w:pPr>
      <w:r w:rsidRPr="00AC5B0D">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14:paraId="20E360FB" w14:textId="77777777" w:rsidR="00D14A9D" w:rsidRPr="00AC5B0D" w:rsidRDefault="00E467AF" w:rsidP="00CF4889">
      <w:pPr>
        <w:numPr>
          <w:ilvl w:val="1"/>
          <w:numId w:val="1"/>
        </w:numPr>
        <w:pBdr>
          <w:top w:val="nil"/>
          <w:left w:val="nil"/>
          <w:bottom w:val="nil"/>
          <w:right w:val="nil"/>
          <w:between w:val="nil"/>
        </w:pBdr>
        <w:tabs>
          <w:tab w:val="left" w:pos="1134"/>
        </w:tabs>
        <w:spacing w:before="120" w:after="120"/>
        <w:ind w:left="567" w:hanging="567"/>
        <w:jc w:val="left"/>
        <w:rPr>
          <w:rFonts w:ascii="Arial" w:hAnsi="Arial"/>
          <w:color w:val="000000"/>
          <w:sz w:val="24"/>
          <w:szCs w:val="24"/>
        </w:rPr>
      </w:pPr>
      <w:r w:rsidRPr="00AC5B0D">
        <w:rPr>
          <w:rFonts w:ascii="Arial" w:eastAsia="Arial" w:hAnsi="Arial"/>
          <w:color w:val="000000"/>
          <w:sz w:val="24"/>
          <w:szCs w:val="24"/>
        </w:rPr>
        <w:lastRenderedPageBreak/>
        <w:t>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14:paraId="4E0C32AF" w14:textId="77777777" w:rsidR="00D14A9D" w:rsidRPr="00AC5B0D" w:rsidRDefault="00E467AF" w:rsidP="00CF4889">
      <w:pPr>
        <w:numPr>
          <w:ilvl w:val="1"/>
          <w:numId w:val="1"/>
        </w:numPr>
        <w:pBdr>
          <w:top w:val="nil"/>
          <w:left w:val="nil"/>
          <w:bottom w:val="nil"/>
          <w:right w:val="nil"/>
          <w:between w:val="nil"/>
        </w:pBdr>
        <w:tabs>
          <w:tab w:val="left" w:pos="1134"/>
        </w:tabs>
        <w:spacing w:before="120" w:after="120"/>
        <w:ind w:left="567" w:hanging="567"/>
        <w:jc w:val="left"/>
        <w:rPr>
          <w:rFonts w:ascii="Arial" w:hAnsi="Arial"/>
          <w:color w:val="000000"/>
          <w:sz w:val="24"/>
          <w:szCs w:val="24"/>
        </w:rPr>
      </w:pPr>
      <w:r w:rsidRPr="00AC5B0D">
        <w:rPr>
          <w:rFonts w:ascii="Arial" w:eastAsia="Arial" w:hAnsi="Arial"/>
          <w:color w:val="000000"/>
          <w:sz w:val="24"/>
          <w:szCs w:val="24"/>
        </w:rPr>
        <w:t>Amounts payable under this Schedule shall not fall with the definition of a Cost.</w:t>
      </w:r>
    </w:p>
    <w:p w14:paraId="45013193" w14:textId="77777777" w:rsidR="00D14A9D" w:rsidRPr="00AC5B0D" w:rsidRDefault="00E467AF" w:rsidP="001C7539">
      <w:pPr>
        <w:keepNext/>
        <w:numPr>
          <w:ilvl w:val="0"/>
          <w:numId w:val="1"/>
        </w:numPr>
        <w:pBdr>
          <w:top w:val="nil"/>
          <w:left w:val="nil"/>
          <w:bottom w:val="nil"/>
          <w:right w:val="nil"/>
          <w:between w:val="nil"/>
        </w:pBdr>
        <w:tabs>
          <w:tab w:val="left" w:pos="142"/>
        </w:tabs>
        <w:spacing w:before="120"/>
        <w:ind w:left="567" w:hanging="567"/>
        <w:jc w:val="left"/>
        <w:rPr>
          <w:rFonts w:ascii="Arial" w:eastAsia="Arial Bold" w:hAnsi="Arial"/>
          <w:b/>
          <w:color w:val="000000"/>
          <w:sz w:val="24"/>
          <w:szCs w:val="24"/>
        </w:rPr>
      </w:pPr>
      <w:r w:rsidRPr="00AC5B0D">
        <w:rPr>
          <w:rFonts w:ascii="Arial" w:eastAsia="Arial Bold" w:hAnsi="Arial"/>
          <w:b/>
          <w:color w:val="000000"/>
          <w:sz w:val="24"/>
          <w:szCs w:val="24"/>
        </w:rPr>
        <w:t>Benchmarking</w:t>
      </w:r>
    </w:p>
    <w:p w14:paraId="59D7B19D" w14:textId="77777777" w:rsidR="00D14A9D" w:rsidRPr="00AC5B0D" w:rsidRDefault="00E467AF" w:rsidP="001C7539">
      <w:pPr>
        <w:keepNext/>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b/>
          <w:color w:val="000000"/>
          <w:sz w:val="24"/>
          <w:szCs w:val="24"/>
        </w:rPr>
      </w:pPr>
      <w:r w:rsidRPr="00AC5B0D">
        <w:rPr>
          <w:rFonts w:ascii="Arial" w:eastAsia="Arial" w:hAnsi="Arial"/>
          <w:b/>
          <w:color w:val="000000"/>
          <w:sz w:val="24"/>
          <w:szCs w:val="24"/>
        </w:rPr>
        <w:t>How benchmarking works</w:t>
      </w:r>
    </w:p>
    <w:p w14:paraId="42C5AC60"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3472BEA2"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Buyer may, by written notice to the Supplier, require a Benchmark Review of any or all of the Deliverables.</w:t>
      </w:r>
    </w:p>
    <w:p w14:paraId="31082BF0"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218A5CEC"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purpose of a Benchmark Review will be to establish whether the Benchmarked Deliverables are, individually and/or as a whole, Good Value.</w:t>
      </w:r>
    </w:p>
    <w:p w14:paraId="541B8F31"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Deliverables that are to be the Benchmarked Deliverables will be identified by the Buyer in writing.</w:t>
      </w:r>
    </w:p>
    <w:p w14:paraId="40513340"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14:paraId="06280009" w14:textId="77777777" w:rsidR="00D14A9D" w:rsidRPr="00AC5B0D" w:rsidRDefault="00E467AF" w:rsidP="001C7539">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14:paraId="47960E52" w14:textId="77777777" w:rsidR="00D14A9D" w:rsidRPr="00AC5B0D" w:rsidRDefault="00E467AF" w:rsidP="0018054E">
      <w:pPr>
        <w:keepNext/>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b/>
          <w:color w:val="000000"/>
          <w:sz w:val="24"/>
          <w:szCs w:val="24"/>
        </w:rPr>
      </w:pPr>
      <w:r w:rsidRPr="00AC5B0D">
        <w:rPr>
          <w:rFonts w:ascii="Arial" w:eastAsia="Arial" w:hAnsi="Arial"/>
          <w:b/>
          <w:color w:val="000000"/>
          <w:sz w:val="24"/>
          <w:szCs w:val="24"/>
        </w:rPr>
        <w:t>Benchmarking Process</w:t>
      </w:r>
    </w:p>
    <w:p w14:paraId="62B02A57" w14:textId="77777777" w:rsidR="00D14A9D" w:rsidRPr="00AC5B0D" w:rsidRDefault="00E467AF" w:rsidP="0018054E">
      <w:pPr>
        <w:keepNext/>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0" w:name="_heading=h.gjdgxs" w:colFirst="0" w:colLast="0"/>
      <w:bookmarkEnd w:id="0"/>
      <w:r w:rsidRPr="00AC5B0D">
        <w:rPr>
          <w:rFonts w:ascii="Arial" w:eastAsia="Arial" w:hAnsi="Arial"/>
          <w:color w:val="000000"/>
          <w:sz w:val="24"/>
          <w:szCs w:val="24"/>
        </w:rPr>
        <w:t>The benchmarker shall produce and send to the Buyer, for Approval, a draft plan for the Benchmark Review which must include:</w:t>
      </w:r>
    </w:p>
    <w:p w14:paraId="1B55418C" w14:textId="77777777" w:rsidR="00D14A9D" w:rsidRPr="00AC5B0D" w:rsidRDefault="00E467AF" w:rsidP="0018054E">
      <w:pPr>
        <w:numPr>
          <w:ilvl w:val="3"/>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a proposed cost and timetable for the Benchmark Review;</w:t>
      </w:r>
    </w:p>
    <w:p w14:paraId="30C04797" w14:textId="77777777" w:rsidR="00D14A9D" w:rsidRPr="00AC5B0D" w:rsidRDefault="00E467AF" w:rsidP="0018054E">
      <w:pPr>
        <w:numPr>
          <w:ilvl w:val="3"/>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lastRenderedPageBreak/>
        <w:t>a description of the benchmarking methodology to be used which must demonstrate that the methodology to be used is capable of fulfilling the benchmarking purpose; and</w:t>
      </w:r>
    </w:p>
    <w:p w14:paraId="5B873A61" w14:textId="77777777" w:rsidR="00D14A9D" w:rsidRPr="00AC5B0D" w:rsidRDefault="00E467AF" w:rsidP="0018054E">
      <w:pPr>
        <w:numPr>
          <w:ilvl w:val="3"/>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 xml:space="preserve">a description of how the benchmarker will scope and identify the Comparison Group. </w:t>
      </w:r>
    </w:p>
    <w:p w14:paraId="6DD782DD" w14:textId="77777777" w:rsidR="00D14A9D" w:rsidRPr="00AC5B0D" w:rsidRDefault="00E467AF" w:rsidP="0018054E">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1" w:name="_heading=h.30j0zll" w:colFirst="0" w:colLast="0"/>
      <w:bookmarkEnd w:id="1"/>
      <w:r w:rsidRPr="00AC5B0D">
        <w:rPr>
          <w:rFonts w:ascii="Arial" w:eastAsia="Arial" w:hAnsi="Arial"/>
          <w:color w:val="000000"/>
          <w:sz w:val="24"/>
          <w:szCs w:val="24"/>
        </w:rPr>
        <w:t xml:space="preserve">The benchmarker, acting reasonably, shall be entitled to use any model to determine the achievement of value for money and to carry out the benchmarking. </w:t>
      </w:r>
    </w:p>
    <w:p w14:paraId="7FC43A23" w14:textId="77777777" w:rsidR="00D14A9D" w:rsidRPr="00AC5B0D" w:rsidRDefault="00E467AF" w:rsidP="0018054E">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2" w:name="_heading=h.1fob9te" w:colFirst="0" w:colLast="0"/>
      <w:bookmarkEnd w:id="2"/>
      <w:r w:rsidRPr="00AC5B0D">
        <w:rPr>
          <w:rFonts w:ascii="Arial" w:eastAsia="Arial" w:hAnsi="Arial"/>
          <w:color w:val="000000"/>
          <w:sz w:val="24"/>
          <w:szCs w:val="24"/>
        </w:rPr>
        <w:t>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14:paraId="25F7599C" w14:textId="77777777" w:rsidR="00D14A9D" w:rsidRPr="00AC5B0D" w:rsidRDefault="00E467AF" w:rsidP="0018054E">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Once both Parties have approved the draft plan then they will notify the benchmarker.  No Party may unreasonably withhold or delay its Approval of the draft plan.</w:t>
      </w:r>
    </w:p>
    <w:p w14:paraId="1D358A1E" w14:textId="77777777" w:rsidR="00D14A9D" w:rsidRPr="00AC5B0D" w:rsidRDefault="00E467AF" w:rsidP="0018054E">
      <w:pPr>
        <w:keepNext/>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Once it has received the Approval of the draft plan, the benchmarker shall:</w:t>
      </w:r>
    </w:p>
    <w:p w14:paraId="2A006F93" w14:textId="77777777" w:rsidR="00D14A9D" w:rsidRPr="00AC5B0D" w:rsidRDefault="00E467AF" w:rsidP="0018054E">
      <w:pPr>
        <w:numPr>
          <w:ilvl w:val="3"/>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judgment using:</w:t>
      </w:r>
    </w:p>
    <w:p w14:paraId="6DC52999" w14:textId="77777777" w:rsidR="00D14A9D" w:rsidRPr="00AC5B0D" w:rsidRDefault="00E467AF" w:rsidP="009A6BF2">
      <w:pPr>
        <w:numPr>
          <w:ilvl w:val="4"/>
          <w:numId w:val="1"/>
        </w:numPr>
        <w:pBdr>
          <w:top w:val="nil"/>
          <w:left w:val="nil"/>
          <w:bottom w:val="nil"/>
          <w:right w:val="nil"/>
          <w:between w:val="nil"/>
        </w:pBdr>
        <w:tabs>
          <w:tab w:val="left" w:pos="3119"/>
        </w:tabs>
        <w:spacing w:before="120" w:after="120"/>
        <w:ind w:left="1701" w:hanging="567"/>
        <w:jc w:val="left"/>
        <w:rPr>
          <w:rFonts w:ascii="Arial" w:eastAsia="Arial" w:hAnsi="Arial"/>
          <w:color w:val="000000"/>
          <w:sz w:val="24"/>
          <w:szCs w:val="24"/>
        </w:rPr>
      </w:pPr>
      <w:r w:rsidRPr="00AC5B0D">
        <w:rPr>
          <w:rFonts w:ascii="Arial" w:eastAsia="Arial" w:hAnsi="Arial"/>
          <w:color w:val="000000"/>
          <w:sz w:val="24"/>
          <w:szCs w:val="24"/>
        </w:rPr>
        <w:t>market intelligence;</w:t>
      </w:r>
    </w:p>
    <w:p w14:paraId="3FD9D28F" w14:textId="77777777" w:rsidR="00D14A9D" w:rsidRPr="00AC5B0D" w:rsidRDefault="00E467AF" w:rsidP="009A6BF2">
      <w:pPr>
        <w:numPr>
          <w:ilvl w:val="4"/>
          <w:numId w:val="1"/>
        </w:numPr>
        <w:pBdr>
          <w:top w:val="nil"/>
          <w:left w:val="nil"/>
          <w:bottom w:val="nil"/>
          <w:right w:val="nil"/>
          <w:between w:val="nil"/>
        </w:pBdr>
        <w:tabs>
          <w:tab w:val="left" w:pos="3119"/>
        </w:tabs>
        <w:spacing w:before="120" w:after="120"/>
        <w:ind w:left="1701" w:hanging="567"/>
        <w:jc w:val="left"/>
        <w:rPr>
          <w:rFonts w:ascii="Arial" w:eastAsia="Arial" w:hAnsi="Arial"/>
          <w:color w:val="000000"/>
          <w:sz w:val="24"/>
          <w:szCs w:val="24"/>
        </w:rPr>
      </w:pPr>
      <w:r w:rsidRPr="00AC5B0D">
        <w:rPr>
          <w:rFonts w:ascii="Arial" w:eastAsia="Arial" w:hAnsi="Arial"/>
          <w:color w:val="000000"/>
          <w:sz w:val="24"/>
          <w:szCs w:val="24"/>
        </w:rPr>
        <w:t>the benchmarker’s own data and experience;</w:t>
      </w:r>
    </w:p>
    <w:p w14:paraId="226F9B15" w14:textId="77777777" w:rsidR="00D14A9D" w:rsidRPr="00AC5B0D" w:rsidRDefault="00E467AF" w:rsidP="009A6BF2">
      <w:pPr>
        <w:numPr>
          <w:ilvl w:val="4"/>
          <w:numId w:val="1"/>
        </w:numPr>
        <w:pBdr>
          <w:top w:val="nil"/>
          <w:left w:val="nil"/>
          <w:bottom w:val="nil"/>
          <w:right w:val="nil"/>
          <w:between w:val="nil"/>
        </w:pBdr>
        <w:tabs>
          <w:tab w:val="left" w:pos="3119"/>
        </w:tabs>
        <w:spacing w:before="120" w:after="120"/>
        <w:ind w:left="1701" w:hanging="567"/>
        <w:jc w:val="left"/>
        <w:rPr>
          <w:rFonts w:ascii="Arial" w:eastAsia="Arial" w:hAnsi="Arial"/>
          <w:color w:val="000000"/>
          <w:sz w:val="24"/>
          <w:szCs w:val="24"/>
        </w:rPr>
      </w:pPr>
      <w:r w:rsidRPr="00AC5B0D">
        <w:rPr>
          <w:rFonts w:ascii="Arial" w:eastAsia="Arial" w:hAnsi="Arial"/>
          <w:color w:val="000000"/>
          <w:sz w:val="24"/>
          <w:szCs w:val="24"/>
        </w:rPr>
        <w:t>relevant published information; and</w:t>
      </w:r>
    </w:p>
    <w:p w14:paraId="2E9D3405" w14:textId="77777777" w:rsidR="00D14A9D" w:rsidRPr="00AC5B0D" w:rsidRDefault="00E467AF" w:rsidP="009A6BF2">
      <w:pPr>
        <w:numPr>
          <w:ilvl w:val="4"/>
          <w:numId w:val="1"/>
        </w:numPr>
        <w:pBdr>
          <w:top w:val="nil"/>
          <w:left w:val="nil"/>
          <w:bottom w:val="nil"/>
          <w:right w:val="nil"/>
          <w:between w:val="nil"/>
        </w:pBdr>
        <w:tabs>
          <w:tab w:val="left" w:pos="3119"/>
        </w:tabs>
        <w:spacing w:before="120" w:after="120"/>
        <w:ind w:left="1701" w:hanging="567"/>
        <w:jc w:val="left"/>
        <w:rPr>
          <w:rFonts w:ascii="Arial" w:eastAsia="Arial" w:hAnsi="Arial"/>
          <w:color w:val="000000"/>
          <w:sz w:val="24"/>
          <w:szCs w:val="24"/>
        </w:rPr>
      </w:pPr>
      <w:r w:rsidRPr="00AC5B0D">
        <w:rPr>
          <w:rFonts w:ascii="Arial" w:eastAsia="Arial" w:hAnsi="Arial"/>
          <w:color w:val="000000"/>
          <w:sz w:val="24"/>
          <w:szCs w:val="24"/>
        </w:rPr>
        <w:t>pursuant to Paragraph 3.2.6  below, information from other suppliers or purchasers on Comparable Rates;</w:t>
      </w:r>
    </w:p>
    <w:p w14:paraId="5FE170EA"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284"/>
        <w:jc w:val="left"/>
        <w:rPr>
          <w:rFonts w:ascii="Arial" w:eastAsia="Arial" w:hAnsi="Arial"/>
          <w:color w:val="000000"/>
          <w:sz w:val="24"/>
          <w:szCs w:val="24"/>
        </w:rPr>
      </w:pPr>
      <w:r w:rsidRPr="00AC5B0D">
        <w:rPr>
          <w:rFonts w:ascii="Arial" w:eastAsia="Arial" w:hAnsi="Arial"/>
          <w:color w:val="000000"/>
          <w:sz w:val="24"/>
          <w:szCs w:val="24"/>
        </w:rPr>
        <w:t>by applying the adjustment factors listed in Paragraph 3.2.7 and from an analysis of the Comparable Rates, derive the Equivalent Data;</w:t>
      </w:r>
    </w:p>
    <w:p w14:paraId="66B5BDB0"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284"/>
        <w:jc w:val="left"/>
        <w:rPr>
          <w:rFonts w:ascii="Arial" w:eastAsia="Arial" w:hAnsi="Arial"/>
          <w:color w:val="000000"/>
          <w:sz w:val="24"/>
          <w:szCs w:val="24"/>
        </w:rPr>
      </w:pPr>
      <w:r w:rsidRPr="00AC5B0D">
        <w:rPr>
          <w:rFonts w:ascii="Arial" w:eastAsia="Arial" w:hAnsi="Arial"/>
          <w:color w:val="000000"/>
          <w:sz w:val="24"/>
          <w:szCs w:val="24"/>
        </w:rPr>
        <w:t>using the Equivalent Data, calculate the Upper Quartile;</w:t>
      </w:r>
    </w:p>
    <w:p w14:paraId="653AEC5E"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284"/>
        <w:jc w:val="left"/>
        <w:rPr>
          <w:rFonts w:ascii="Arial" w:eastAsia="Arial" w:hAnsi="Arial"/>
          <w:color w:val="000000"/>
          <w:sz w:val="24"/>
          <w:szCs w:val="24"/>
        </w:rPr>
      </w:pPr>
      <w:r w:rsidRPr="00AC5B0D">
        <w:rPr>
          <w:rFonts w:ascii="Arial" w:eastAsia="Arial" w:hAnsi="Arial"/>
          <w:color w:val="000000"/>
          <w:sz w:val="24"/>
          <w:szCs w:val="24"/>
        </w:rPr>
        <w:t>determine whether or not each Benchmarked Rate is, and/or the Benchmarked Rates as a whole are, Good Value.</w:t>
      </w:r>
    </w:p>
    <w:p w14:paraId="208AAD6A" w14:textId="77777777" w:rsidR="00D14A9D" w:rsidRPr="00AC5B0D" w:rsidRDefault="00E467AF" w:rsidP="009A6BF2">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3" w:name="_heading=h.3znysh7" w:colFirst="0" w:colLast="0"/>
      <w:bookmarkEnd w:id="3"/>
      <w:r w:rsidRPr="00AC5B0D">
        <w:rPr>
          <w:rFonts w:ascii="Arial" w:eastAsia="Arial" w:hAnsi="Arial"/>
          <w:color w:val="000000"/>
          <w:sz w:val="24"/>
          <w:szCs w:val="24"/>
        </w:rPr>
        <w:t>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14:paraId="032B7821" w14:textId="77777777" w:rsidR="00D14A9D" w:rsidRPr="00AC5B0D" w:rsidRDefault="00E467AF" w:rsidP="009A6BF2">
      <w:pPr>
        <w:keepNext/>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4" w:name="_heading=h.2et92p0" w:colFirst="0" w:colLast="0"/>
      <w:bookmarkEnd w:id="4"/>
      <w:r w:rsidRPr="00AC5B0D">
        <w:rPr>
          <w:rFonts w:ascii="Arial" w:eastAsia="Arial" w:hAnsi="Arial"/>
          <w:color w:val="000000"/>
          <w:sz w:val="24"/>
          <w:szCs w:val="24"/>
        </w:rPr>
        <w:t xml:space="preserve">In carrying out the benchmarking analysis the benchmarker may have regard to the following matters when performing a comparative </w:t>
      </w:r>
      <w:r w:rsidRPr="00AC5B0D">
        <w:rPr>
          <w:rFonts w:ascii="Arial" w:eastAsia="Arial" w:hAnsi="Arial"/>
          <w:color w:val="000000"/>
          <w:sz w:val="24"/>
          <w:szCs w:val="24"/>
        </w:rPr>
        <w:lastRenderedPageBreak/>
        <w:t>assessment of the Benchmarked Rates and the Comparable Rates in order to derive Equivalent Data:</w:t>
      </w:r>
    </w:p>
    <w:p w14:paraId="35AC3B71"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the contractual terms and business environment under which the Comparable Rates are being provided (including the scale and geographical spread of the customers);</w:t>
      </w:r>
    </w:p>
    <w:p w14:paraId="2B713366"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exchange rates;</w:t>
      </w:r>
    </w:p>
    <w:p w14:paraId="30CD9644"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any other factors reasonably identified by the Supplier, which, if not taken into consideration, could unfairly cause the Supplier's pricing to appear non-competitive.</w:t>
      </w:r>
    </w:p>
    <w:p w14:paraId="5A0A69BF" w14:textId="77777777" w:rsidR="00D14A9D" w:rsidRPr="00AC5B0D" w:rsidRDefault="00E467AF" w:rsidP="009A6BF2">
      <w:pPr>
        <w:keepNext/>
        <w:numPr>
          <w:ilvl w:val="1"/>
          <w:numId w:val="1"/>
        </w:numPr>
        <w:pBdr>
          <w:top w:val="nil"/>
          <w:left w:val="nil"/>
          <w:bottom w:val="nil"/>
          <w:right w:val="nil"/>
          <w:between w:val="nil"/>
        </w:pBdr>
        <w:tabs>
          <w:tab w:val="left" w:pos="1134"/>
        </w:tabs>
        <w:spacing w:before="120" w:after="120"/>
        <w:ind w:left="567" w:hanging="567"/>
        <w:jc w:val="left"/>
        <w:rPr>
          <w:rFonts w:ascii="Arial" w:eastAsia="Arial" w:hAnsi="Arial"/>
          <w:b/>
          <w:color w:val="000000"/>
          <w:sz w:val="24"/>
          <w:szCs w:val="24"/>
        </w:rPr>
      </w:pPr>
      <w:r w:rsidRPr="00AC5B0D">
        <w:rPr>
          <w:rFonts w:ascii="Arial" w:eastAsia="Arial" w:hAnsi="Arial"/>
          <w:b/>
          <w:color w:val="000000"/>
          <w:sz w:val="24"/>
          <w:szCs w:val="24"/>
        </w:rPr>
        <w:t>Benchmarking Report</w:t>
      </w:r>
    </w:p>
    <w:p w14:paraId="5C87A352" w14:textId="77777777" w:rsidR="00D14A9D" w:rsidRPr="00AC5B0D" w:rsidRDefault="00E467AF" w:rsidP="009A6BF2">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 xml:space="preserve">For the purposes of this Schedule </w:t>
      </w:r>
      <w:r w:rsidRPr="00AC5B0D">
        <w:rPr>
          <w:rFonts w:ascii="Arial" w:eastAsia="Arial" w:hAnsi="Arial"/>
          <w:b/>
          <w:color w:val="000000"/>
          <w:sz w:val="24"/>
          <w:szCs w:val="24"/>
        </w:rPr>
        <w:t>"Benchmarking Report"</w:t>
      </w:r>
      <w:r w:rsidRPr="00AC5B0D">
        <w:rPr>
          <w:rFonts w:ascii="Arial" w:eastAsia="Arial" w:hAnsi="Arial"/>
          <w:color w:val="000000"/>
          <w:sz w:val="24"/>
          <w:szCs w:val="24"/>
        </w:rPr>
        <w:t xml:space="preserve"> shall mean the report produced by the benchmarker following the Benchmark Review and as further described in this Schedule;</w:t>
      </w:r>
    </w:p>
    <w:p w14:paraId="5A915FF2" w14:textId="77777777" w:rsidR="00D14A9D" w:rsidRPr="00AC5B0D" w:rsidRDefault="00E467AF" w:rsidP="009A6BF2">
      <w:pPr>
        <w:keepNext/>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r w:rsidRPr="00AC5B0D">
        <w:rPr>
          <w:rFonts w:ascii="Arial" w:eastAsia="Arial" w:hAnsi="Arial"/>
          <w:color w:val="000000"/>
          <w:sz w:val="24"/>
          <w:szCs w:val="24"/>
        </w:rPr>
        <w:t>The benchmarker shall prepare a Benchmarking Report and deliver it to the Buyer, at the time specified in the plan Approved pursuant to Paragraph 3.2.3, setting out its findings.  Those findings shall be required to:</w:t>
      </w:r>
    </w:p>
    <w:p w14:paraId="161ABAFB"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include a finding as to whether or not a Benchmarked Service and/or whether the Benchmarked Deliverables as a whole are, Good Value;</w:t>
      </w:r>
    </w:p>
    <w:p w14:paraId="1A83F086"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if any of the Benchmarked Deliverables are, individually o</w:t>
      </w:r>
      <w:r w:rsidRPr="00AC5B0D">
        <w:rPr>
          <w:rFonts w:ascii="Arial" w:eastAsia="Arial" w:hAnsi="Arial"/>
          <w:sz w:val="24"/>
          <w:szCs w:val="24"/>
        </w:rPr>
        <w:t xml:space="preserve">r </w:t>
      </w:r>
      <w:r w:rsidRPr="00AC5B0D">
        <w:rPr>
          <w:rFonts w:ascii="Arial" w:eastAsia="Arial" w:hAnsi="Arial"/>
          <w:color w:val="000000"/>
          <w:sz w:val="24"/>
          <w:szCs w:val="24"/>
        </w:rPr>
        <w:t xml:space="preserve">as a whole, not Good Value, specify the changes that would be required to make that Benchmarked Service or the Benchmarked Deliverables as a whole Good Value; and </w:t>
      </w:r>
    </w:p>
    <w:p w14:paraId="52AF0724" w14:textId="77777777" w:rsidR="00D14A9D" w:rsidRPr="00AC5B0D" w:rsidRDefault="00E467AF" w:rsidP="009A6BF2">
      <w:pPr>
        <w:numPr>
          <w:ilvl w:val="3"/>
          <w:numId w:val="1"/>
        </w:numPr>
        <w:pBdr>
          <w:top w:val="nil"/>
          <w:left w:val="nil"/>
          <w:bottom w:val="nil"/>
          <w:right w:val="nil"/>
          <w:between w:val="nil"/>
        </w:pBdr>
        <w:tabs>
          <w:tab w:val="left" w:pos="1985"/>
        </w:tabs>
        <w:spacing w:before="120" w:after="120"/>
        <w:ind w:left="1985" w:hanging="567"/>
        <w:jc w:val="left"/>
        <w:rPr>
          <w:rFonts w:ascii="Arial" w:eastAsia="Arial" w:hAnsi="Arial"/>
          <w:color w:val="000000"/>
          <w:sz w:val="24"/>
          <w:szCs w:val="24"/>
        </w:rPr>
      </w:pPr>
      <w:r w:rsidRPr="00AC5B0D">
        <w:rPr>
          <w:rFonts w:ascii="Arial" w:eastAsia="Arial" w:hAnsi="Arial"/>
          <w:color w:val="000000"/>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1FB1CE57" w14:textId="77777777" w:rsidR="00D14A9D" w:rsidRPr="00AC5B0D" w:rsidRDefault="00E467AF" w:rsidP="00DC3531">
      <w:pPr>
        <w:numPr>
          <w:ilvl w:val="2"/>
          <w:numId w:val="1"/>
        </w:numPr>
        <w:pBdr>
          <w:top w:val="nil"/>
          <w:left w:val="nil"/>
          <w:bottom w:val="nil"/>
          <w:right w:val="nil"/>
          <w:between w:val="nil"/>
        </w:pBdr>
        <w:tabs>
          <w:tab w:val="left" w:pos="1985"/>
        </w:tabs>
        <w:spacing w:before="120" w:after="120"/>
        <w:ind w:left="1418" w:hanging="851"/>
        <w:jc w:val="left"/>
        <w:rPr>
          <w:rFonts w:ascii="Arial" w:eastAsia="Arial" w:hAnsi="Arial"/>
          <w:color w:val="000000"/>
          <w:sz w:val="24"/>
          <w:szCs w:val="24"/>
        </w:rPr>
      </w:pPr>
      <w:bookmarkStart w:id="5" w:name="_heading=h.tyjcwt" w:colFirst="0" w:colLast="0"/>
      <w:bookmarkEnd w:id="5"/>
      <w:r w:rsidRPr="00AC5B0D">
        <w:rPr>
          <w:rFonts w:ascii="Arial" w:eastAsia="Arial" w:hAnsi="Arial"/>
          <w:color w:val="000000"/>
          <w:sz w:val="24"/>
          <w:szCs w:val="24"/>
        </w:rPr>
        <w:t>The Parties agree that any changes required to this Contract identified in the Benchmarking Report shall be implemented at the direction of the Buyer in accordance with Clause 2</w:t>
      </w:r>
      <w:r w:rsidRPr="00AC5B0D">
        <w:rPr>
          <w:rFonts w:ascii="Arial" w:eastAsia="Arial" w:hAnsi="Arial"/>
          <w:sz w:val="24"/>
          <w:szCs w:val="24"/>
        </w:rPr>
        <w:t>4 of the Core Terms</w:t>
      </w:r>
      <w:r w:rsidRPr="00AC5B0D">
        <w:rPr>
          <w:rFonts w:ascii="Arial" w:eastAsia="Arial" w:hAnsi="Arial"/>
          <w:color w:val="000000"/>
          <w:sz w:val="24"/>
          <w:szCs w:val="24"/>
        </w:rPr>
        <w:t xml:space="preserve"> (Changing the contract).</w:t>
      </w:r>
    </w:p>
    <w:sectPr w:rsidR="00D14A9D" w:rsidRPr="00AC5B0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14EB0" w14:textId="77777777" w:rsidR="00D63EB3" w:rsidRDefault="00D63EB3">
      <w:pPr>
        <w:spacing w:after="0"/>
      </w:pPr>
      <w:r>
        <w:separator/>
      </w:r>
    </w:p>
  </w:endnote>
  <w:endnote w:type="continuationSeparator" w:id="0">
    <w:p w14:paraId="0749A68B" w14:textId="77777777" w:rsidR="00D63EB3" w:rsidRDefault="00D63E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46D8A" w14:textId="77777777" w:rsidR="00D14A9D" w:rsidRDefault="00D14A9D" w:rsidP="00AC5B0D">
    <w:pPr>
      <w:tabs>
        <w:tab w:val="center" w:pos="4513"/>
        <w:tab w:val="right" w:pos="9026"/>
      </w:tabs>
      <w:spacing w:after="0" w:line="276" w:lineRule="auto"/>
      <w:rPr>
        <w:rFonts w:ascii="Arial" w:eastAsia="Arial" w:hAnsi="Arial"/>
        <w:sz w:val="20"/>
        <w:szCs w:val="20"/>
      </w:rPr>
    </w:pPr>
  </w:p>
  <w:p w14:paraId="392AE51B" w14:textId="77777777" w:rsidR="00D14A9D" w:rsidRDefault="00E467AF" w:rsidP="00AC5B0D">
    <w:pPr>
      <w:tabs>
        <w:tab w:val="center" w:pos="4513"/>
        <w:tab w:val="right" w:pos="9026"/>
      </w:tabs>
      <w:spacing w:after="0" w:line="276" w:lineRule="auto"/>
      <w:rPr>
        <w:rFonts w:ascii="Arial" w:eastAsia="Arial" w:hAnsi="Arial"/>
        <w:sz w:val="20"/>
        <w:szCs w:val="20"/>
      </w:rPr>
    </w:pPr>
    <w:r>
      <w:rPr>
        <w:rFonts w:ascii="Arial" w:eastAsia="Arial" w:hAnsi="Arial"/>
        <w:sz w:val="20"/>
        <w:szCs w:val="20"/>
      </w:rPr>
      <w:t>Framework Ref: RM6232</w:t>
    </w:r>
  </w:p>
  <w:p w14:paraId="3DA40976" w14:textId="77777777" w:rsidR="00D14A9D" w:rsidRDefault="00E467AF" w:rsidP="00AC5B0D">
    <w:pPr>
      <w:pBdr>
        <w:top w:val="nil"/>
        <w:left w:val="nil"/>
        <w:bottom w:val="nil"/>
        <w:right w:val="nil"/>
        <w:between w:val="nil"/>
      </w:pBdr>
      <w:tabs>
        <w:tab w:val="center" w:pos="4513"/>
        <w:tab w:val="right" w:pos="9026"/>
      </w:tabs>
      <w:spacing w:after="0" w:line="276" w:lineRule="auto"/>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AC5B0D">
      <w:rPr>
        <w:rFonts w:ascii="Arial" w:eastAsia="Arial" w:hAnsi="Arial"/>
        <w:noProof/>
        <w:color w:val="000000"/>
        <w:sz w:val="20"/>
        <w:szCs w:val="20"/>
      </w:rPr>
      <w:t>1</w:t>
    </w:r>
    <w:r>
      <w:rPr>
        <w:rFonts w:ascii="Arial" w:eastAsia="Arial" w:hAnsi="Arial"/>
        <w:color w:val="000000"/>
        <w:sz w:val="20"/>
        <w:szCs w:val="20"/>
      </w:rPr>
      <w:fldChar w:fldCharType="end"/>
    </w:r>
  </w:p>
  <w:p w14:paraId="590BD233" w14:textId="77777777" w:rsidR="00D14A9D" w:rsidRDefault="00E467AF" w:rsidP="00AC5B0D">
    <w:pPr>
      <w:tabs>
        <w:tab w:val="center" w:pos="4513"/>
        <w:tab w:val="right" w:pos="9026"/>
      </w:tabs>
      <w:spacing w:after="0" w:line="276" w:lineRule="auto"/>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D8C9C" w14:textId="77777777" w:rsidR="00D14A9D" w:rsidRDefault="00E467AF">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14:paraId="3657FFF5" w14:textId="77777777"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14:paraId="69033830" w14:textId="77777777" w:rsidR="00D14A9D" w:rsidRDefault="00E467AF">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111E7" w14:textId="77777777" w:rsidR="00D63EB3" w:rsidRDefault="00D63EB3">
      <w:pPr>
        <w:spacing w:after="0"/>
      </w:pPr>
      <w:r>
        <w:separator/>
      </w:r>
    </w:p>
  </w:footnote>
  <w:footnote w:type="continuationSeparator" w:id="0">
    <w:p w14:paraId="21FD2F8F" w14:textId="77777777" w:rsidR="00D63EB3" w:rsidRDefault="00D63E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A907D" w14:textId="77777777"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14:paraId="7F05F3C8" w14:textId="77777777"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226640D6" w14:textId="77777777" w:rsidR="00D14A9D" w:rsidRDefault="00E467A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47D20AEA" w14:textId="77777777" w:rsidR="00D14A9D" w:rsidRDefault="00D14A9D">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3826D" w14:textId="77777777" w:rsidR="00D14A9D" w:rsidRDefault="00E467AF">
    <w:pPr>
      <w:pBdr>
        <w:top w:val="nil"/>
        <w:left w:val="nil"/>
        <w:bottom w:val="nil"/>
        <w:right w:val="nil"/>
        <w:between w:val="nil"/>
      </w:pBdr>
      <w:tabs>
        <w:tab w:val="center" w:pos="4513"/>
        <w:tab w:val="right" w:pos="9026"/>
      </w:tabs>
      <w:spacing w:after="0"/>
      <w:rPr>
        <w:color w:val="000000"/>
      </w:rPr>
    </w:pPr>
    <w:r>
      <w:rPr>
        <w:noProof/>
      </w:rPr>
      <w:drawing>
        <wp:anchor distT="0" distB="0" distL="114300" distR="114300" simplePos="0" relativeHeight="251658240" behindDoc="0" locked="0" layoutInCell="1" hidden="0" allowOverlap="1" wp14:anchorId="7E102A93" wp14:editId="4D3E5571">
          <wp:simplePos x="0" y="0"/>
          <wp:positionH relativeFrom="column">
            <wp:posOffset>5714365</wp:posOffset>
          </wp:positionH>
          <wp:positionV relativeFrom="paragraph">
            <wp:posOffset>-13330</wp:posOffset>
          </wp:positionV>
          <wp:extent cx="849085" cy="685627"/>
          <wp:effectExtent l="0" t="0" r="0" b="0"/>
          <wp:wrapNone/>
          <wp:docPr id="5"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591661"/>
    <w:multiLevelType w:val="multilevel"/>
    <w:tmpl w:val="AB1AA152"/>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Calibri" w:hAnsi="Arial" w:cs="Arial" w:hint="default"/>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A9C7F99"/>
    <w:multiLevelType w:val="multilevel"/>
    <w:tmpl w:val="D6EA4E5A"/>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A9D"/>
    <w:rsid w:val="0018054E"/>
    <w:rsid w:val="001C7539"/>
    <w:rsid w:val="001C7E95"/>
    <w:rsid w:val="003366DD"/>
    <w:rsid w:val="00547F24"/>
    <w:rsid w:val="0071737D"/>
    <w:rsid w:val="009A6BF2"/>
    <w:rsid w:val="00AC5B0D"/>
    <w:rsid w:val="00AF74EB"/>
    <w:rsid w:val="00B22767"/>
    <w:rsid w:val="00CF4889"/>
    <w:rsid w:val="00D14A9D"/>
    <w:rsid w:val="00D63EB3"/>
    <w:rsid w:val="00DC3531"/>
    <w:rsid w:val="00DC4CD5"/>
    <w:rsid w:val="00E467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1012A"/>
  <w15:docId w15:val="{81101180-DED5-4E47-88DC-F6ECD55A6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Tezk52IXaGMZJ+Z5jVVOKNDayw==">AMUW2mWt1BIRrYUEIgLeN5qU2q+DnJd9q2pi9bdxzaBHXM/xvS2NL7FykhxYsffJ3HcCNo+j1ZJZAuZQU+yjisAvewNS8iNVjfsglzdDD88rYrVnEdu3RxqQqZIm+ek2HL8w0MwMHYg4cSpNb0SNiYbqc8kIWRbOu67dJX2/w6PtcckVI7zAAxOobsNIIIAzaO2YKtGDfXolHMKOYnLlp1tjcTzkDL/8zg==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ADCBF8F-0752-463B-95DA-C381660A1CAA}"/>
</file>

<file path=customXml/itemProps3.xml><?xml version="1.0" encoding="utf-8"?>
<ds:datastoreItem xmlns:ds="http://schemas.openxmlformats.org/officeDocument/2006/customXml" ds:itemID="{8EA208AF-8BA0-4FC2-AB94-70A89F11B617}"/>
</file>

<file path=customXml/itemProps4.xml><?xml version="1.0" encoding="utf-8"?>
<ds:datastoreItem xmlns:ds="http://schemas.openxmlformats.org/officeDocument/2006/customXml" ds:itemID="{FDD45D11-C889-4107-8EBE-C5E1E5013EF4}"/>
</file>

<file path=docProps/app.xml><?xml version="1.0" encoding="utf-8"?>
<Properties xmlns="http://schemas.openxmlformats.org/officeDocument/2006/extended-properties" xmlns:vt="http://schemas.openxmlformats.org/officeDocument/2006/docPropsVTypes">
  <Template>Normal</Template>
  <TotalTime>1</TotalTime>
  <Pages>4</Pages>
  <Words>1228</Words>
  <Characters>7005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3</cp:revision>
  <dcterms:created xsi:type="dcterms:W3CDTF">2025-03-26T12:40:00Z</dcterms:created>
  <dcterms:modified xsi:type="dcterms:W3CDTF">2025-12-18T11:58:00Z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0x010100A5BF1C78D9F64B679A5EBDE1C6598EBC0100CC42F60AA7789749A5588C8BDD2261FE</vt:lpwstr>
  </property>
</Properties>
</file>